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CD" w:rsidRDefault="00C310FE" w:rsidP="006B50CD">
      <w:pPr>
        <w:spacing w:after="0" w:line="240" w:lineRule="auto"/>
        <w:ind w:left="4820"/>
        <w:jc w:val="both"/>
        <w:rPr>
          <w:rFonts w:ascii="Times New Roman" w:eastAsia="Times New Roman" w:hAnsi="Times New Roman" w:cs="Times New Roman"/>
          <w:lang w:eastAsia="lt-LT"/>
        </w:rPr>
      </w:pPr>
      <w:r w:rsidRPr="00C310FE">
        <w:rPr>
          <w:rFonts w:ascii="Times New Roman" w:eastAsia="Times New Roman" w:hAnsi="Times New Roman" w:cs="Times New Roman"/>
          <w:lang w:eastAsia="lt-LT"/>
        </w:rPr>
        <w:t>VPS priemonės „ Ūkio ir verslo plėtra“ Nr.  LEADER-19.2-6,  veiklos srities ,, Parama ne žemės ūkio verslui kaimo vietovėse plėtoti“ Nr.  LEADER-19.2-6.4. (kvietimas Nr. 9)</w:t>
      </w:r>
    </w:p>
    <w:p w:rsidR="00C310FE" w:rsidRPr="00C310FE" w:rsidRDefault="00C310FE" w:rsidP="006B50CD">
      <w:pPr>
        <w:spacing w:after="0" w:line="240" w:lineRule="auto"/>
        <w:ind w:left="4820"/>
        <w:jc w:val="both"/>
        <w:rPr>
          <w:rFonts w:ascii="Times New Roman" w:eastAsia="Times New Roman" w:hAnsi="Times New Roman" w:cs="Times New Roman"/>
          <w:lang w:eastAsia="lt-LT"/>
        </w:rPr>
      </w:pPr>
      <w:r w:rsidRPr="00C310FE">
        <w:rPr>
          <w:rFonts w:ascii="Times New Roman" w:eastAsia="Calibri" w:hAnsi="Times New Roman" w:cs="Times New Roman"/>
        </w:rPr>
        <w:t>Vietos projektų finansavimo sąlygų aprašo</w:t>
      </w:r>
    </w:p>
    <w:p w:rsidR="005C57E4" w:rsidRPr="005C57E4" w:rsidRDefault="005C57E4" w:rsidP="006B50CD">
      <w:pPr>
        <w:spacing w:after="0" w:line="240" w:lineRule="auto"/>
        <w:ind w:left="3524" w:firstLine="1296"/>
        <w:jc w:val="both"/>
        <w:rPr>
          <w:rFonts w:ascii="Times New Roman" w:eastAsia="Calibri" w:hAnsi="Times New Roman" w:cs="Times New Roman"/>
        </w:rPr>
      </w:pPr>
      <w:bookmarkStart w:id="0" w:name="_GoBack"/>
      <w:bookmarkEnd w:id="0"/>
      <w:r w:rsidRPr="005C57E4">
        <w:rPr>
          <w:rFonts w:ascii="Times New Roman" w:eastAsia="Calibri" w:hAnsi="Times New Roman" w:cs="Times New Roman"/>
        </w:rPr>
        <w:t>2 priedas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C310FE">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p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 xml:space="preserve">TEIKIAMAS PAGAL </w:t>
            </w:r>
          </w:p>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bCs/>
                <w:sz w:val="24"/>
                <w:szCs w:val="24"/>
              </w:rPr>
              <w:t>Lazdijų</w:t>
            </w:r>
            <w:r w:rsidR="009A6FA7">
              <w:rPr>
                <w:rFonts w:ascii="Times New Roman" w:eastAsia="Times New Roman" w:hAnsi="Times New Roman" w:cs="Times New Roman"/>
                <w:b/>
                <w:bCs/>
                <w:sz w:val="24"/>
                <w:szCs w:val="24"/>
              </w:rPr>
              <w:t xml:space="preserve"> rajono kaimo plėtros strategijos</w:t>
            </w:r>
            <w:r w:rsidRPr="005C57E4">
              <w:rPr>
                <w:rFonts w:ascii="Times New Roman" w:eastAsia="Times New Roman" w:hAnsi="Times New Roman" w:cs="Times New Roman"/>
                <w:b/>
                <w:bCs/>
                <w:sz w:val="24"/>
                <w:szCs w:val="24"/>
              </w:rPr>
              <w:t xml:space="preserve"> 2016-2023 metams strategijos priemonės </w:t>
            </w:r>
            <w:r w:rsidR="009A6FA7" w:rsidRPr="009A6FA7">
              <w:rPr>
                <w:rFonts w:ascii="Times New Roman" w:hAnsi="Times New Roman" w:cs="Times New Roman"/>
                <w:b/>
              </w:rPr>
              <w:t>„Ūkio ir verslo plėtra“ Nr.  LEADER-19.2-6  veiklos sritį ,, Parama ne žemės ūkio verslui kaimo vietovėse plėtoti“ Nr.  LEADER-19.2-6.4.</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868"/>
        <w:gridCol w:w="2181"/>
        <w:gridCol w:w="3915"/>
      </w:tblGrid>
      <w:tr w:rsidR="005C57E4" w:rsidRPr="005C57E4"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86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rsidTr="006B50C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868"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 socialinio verslo </w:t>
            </w:r>
            <w:r w:rsidRPr="005C57E4">
              <w:rPr>
                <w:rFonts w:ascii="Times New Roman" w:eastAsia="Times New Roman" w:hAnsi="Times New Roman" w:cs="Times New Roman"/>
                <w:lang w:eastAsia="lt-LT"/>
              </w:rPr>
              <w:lastRenderedPageBreak/>
              <w:t>modelis</w:t>
            </w:r>
          </w:p>
          <w:p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lastRenderedPageBreak/>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lastRenderedPageBreak/>
              <w:t>□</w:t>
            </w:r>
            <w:r w:rsidRPr="005C57E4">
              <w:rPr>
                <w:rFonts w:ascii="Times New Roman" w:eastAsia="Times New Roman" w:hAnsi="Times New Roman" w:cs="Times New Roman"/>
                <w:lang w:eastAsia="lt-LT"/>
              </w:rPr>
              <w:t xml:space="preserve"> – integruotas;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1.2.1.2.</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Planuojamos socialinės veiklos apibūdinimas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(taikoma tik socialinio verslo vietos projektams)</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rsidTr="006B50C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lastRenderedPageBreak/>
              <w:t xml:space="preserve">Susietumas vertinamas pagal Lietuvos Respublikos smulkaus ir vidutinio verslo plėtros įstatymo 2 str. 12 d. </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1.3.3.2.</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rsidTr="006B50CD">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86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09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xml:space="preserve">gavę ES ir </w:t>
            </w:r>
            <w:r w:rsidRPr="005C57E4">
              <w:rPr>
                <w:rFonts w:ascii="Times New Roman" w:eastAsia="Times New Roman" w:hAnsi="Times New Roman" w:cs="Times New Roman"/>
                <w:lang w:eastAsia="lt-LT"/>
              </w:rPr>
              <w:lastRenderedPageBreak/>
              <w:t>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Nurodomas adresas, būklė po projekto įgyvendinimo, sąsajos su verslo vykdymu, pateikiamas paaiškinimas, kas bus atlikta iš paramos </w:t>
            </w:r>
            <w:r w:rsidRPr="005C57E4">
              <w:rPr>
                <w:rFonts w:ascii="Times New Roman" w:eastAsia="Times New Roman" w:hAnsi="Times New Roman" w:cs="Times New Roman"/>
                <w:i/>
                <w:lang w:eastAsia="lt-LT"/>
              </w:rPr>
              <w:lastRenderedPageBreak/>
              <w:t>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Paaiškinama, ar verslo plane numatytų prekių ir </w:t>
            </w:r>
            <w:r w:rsidRPr="005C57E4">
              <w:rPr>
                <w:rFonts w:ascii="Times New Roman" w:eastAsia="Times New Roman" w:hAnsi="Times New Roman" w:cs="Times New Roman"/>
                <w:i/>
                <w:lang w:eastAsia="lt-LT"/>
              </w:rPr>
              <w:lastRenderedPageBreak/>
              <w:t>(arba)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991"/>
        <w:gridCol w:w="1134"/>
      </w:tblGrid>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p>
        </w:tc>
        <w:tc>
          <w:tcPr>
            <w:tcW w:w="113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VIII</w:t>
            </w:r>
          </w:p>
        </w:tc>
      </w:tr>
      <w:tr w:rsidR="005C57E4" w:rsidRPr="005C57E4" w:rsidTr="00B468F0">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B468F0" w:rsidP="00B468F0">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w:t>
            </w:r>
            <w:r>
              <w:rPr>
                <w:rFonts w:ascii="Times New Roman" w:eastAsia="Times New Roman" w:hAnsi="Times New Roman" w:cs="Times New Roman"/>
                <w:b/>
                <w:lang w:eastAsia="lt-LT"/>
              </w:rPr>
              <w:lastRenderedPageBreak/>
              <w:t xml:space="preserve">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B468F0" w:rsidRPr="005C57E4" w:rsidTr="00B468F0">
        <w:tc>
          <w:tcPr>
            <w:tcW w:w="96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lang w:eastAsia="lt-LT"/>
              </w:rPr>
            </w:pPr>
            <w:r w:rsidRPr="005C57E4">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rsidR="005C57E4" w:rsidRPr="005C57E4" w:rsidRDefault="005C57E4"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lastRenderedPageBreak/>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bl>
    <w:p w:rsidR="005C57E4" w:rsidRDefault="005C57E4" w:rsidP="005C57E4">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2B4AEE" w:rsidTr="006B50CD">
        <w:tc>
          <w:tcPr>
            <w:tcW w:w="936"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w:t>
            </w:r>
          </w:p>
        </w:tc>
        <w:tc>
          <w:tcPr>
            <w:tcW w:w="8811" w:type="dxa"/>
            <w:gridSpan w:val="6"/>
            <w:shd w:val="clear" w:color="auto" w:fill="F7CAAC" w:themeFill="accent2" w:themeFillTint="66"/>
          </w:tcPr>
          <w:p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rsidTr="006B50CD">
        <w:tc>
          <w:tcPr>
            <w:tcW w:w="936"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5.1.</w:t>
            </w:r>
          </w:p>
        </w:tc>
        <w:tc>
          <w:tcPr>
            <w:tcW w:w="8811" w:type="dxa"/>
            <w:gridSpan w:val="6"/>
            <w:shd w:val="clear" w:color="auto" w:fill="F7CAAC" w:themeFill="accent2" w:themeFillTint="66"/>
          </w:tcPr>
          <w:p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rsidTr="006B50CD">
        <w:tc>
          <w:tcPr>
            <w:tcW w:w="936"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2112"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298"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257"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23" w:type="dxa"/>
            <w:vAlign w:val="center"/>
          </w:tcPr>
          <w:p w:rsidR="002B4AEE" w:rsidRPr="005C57E4" w:rsidRDefault="002B4AEE" w:rsidP="002B4AEE">
            <w:pPr>
              <w:tabs>
                <w:tab w:val="left" w:pos="3555"/>
              </w:tabs>
              <w:jc w:val="center"/>
              <w:rPr>
                <w:rFonts w:eastAsia="Calibri"/>
                <w:b/>
              </w:rPr>
            </w:pPr>
            <w:r w:rsidRPr="005C57E4">
              <w:rPr>
                <w:b/>
                <w:lang w:eastAsia="lt-LT"/>
              </w:rPr>
              <w:t>I</w:t>
            </w:r>
          </w:p>
        </w:tc>
      </w:tr>
      <w:tr w:rsidR="002B4AEE" w:rsidTr="006B50CD">
        <w:tc>
          <w:tcPr>
            <w:tcW w:w="936" w:type="dxa"/>
            <w:shd w:val="clear" w:color="auto" w:fill="FBE4D5" w:themeFill="accent2" w:themeFillTint="33"/>
            <w:vAlign w:val="center"/>
          </w:tcPr>
          <w:p w:rsidR="002B4AEE" w:rsidRPr="005C57E4" w:rsidRDefault="002B4AEE" w:rsidP="002B4AEE">
            <w:pPr>
              <w:tabs>
                <w:tab w:val="left" w:pos="3555"/>
              </w:tabs>
              <w:jc w:val="center"/>
              <w:rPr>
                <w:rFonts w:eastAsia="Calibri"/>
                <w:b/>
              </w:rPr>
            </w:pPr>
            <w:r w:rsidRPr="005C57E4">
              <w:rPr>
                <w:b/>
                <w:lang w:eastAsia="lt-LT"/>
              </w:rPr>
              <w:t>5.1.1.</w:t>
            </w:r>
          </w:p>
        </w:tc>
        <w:tc>
          <w:tcPr>
            <w:tcW w:w="2112"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 xml:space="preserve">Paskolos ir (arba) </w:t>
            </w:r>
            <w:r w:rsidRPr="002B4AEE">
              <w:rPr>
                <w:b/>
                <w:lang w:val="lt-LT" w:eastAsia="lt-LT"/>
              </w:rPr>
              <w:lastRenderedPageBreak/>
              <w:t>lizingo paskirtis ir gavimo data</w:t>
            </w:r>
          </w:p>
        </w:tc>
        <w:tc>
          <w:tcPr>
            <w:tcW w:w="1257"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lastRenderedPageBreak/>
              <w:t>Suma (Eur)</w:t>
            </w:r>
          </w:p>
        </w:tc>
        <w:tc>
          <w:tcPr>
            <w:tcW w:w="1311"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 xml:space="preserve">Palūkanų norma </w:t>
            </w:r>
            <w:r w:rsidRPr="002B4AEE">
              <w:rPr>
                <w:b/>
                <w:lang w:val="lt-LT" w:eastAsia="lt-LT"/>
              </w:rPr>
              <w:lastRenderedPageBreak/>
              <w:t>(proc.)</w:t>
            </w:r>
          </w:p>
        </w:tc>
        <w:tc>
          <w:tcPr>
            <w:tcW w:w="1510"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lastRenderedPageBreak/>
              <w:t>Neišmokėtas likutis (Eur)</w:t>
            </w:r>
          </w:p>
          <w:p w:rsidR="002B4AEE" w:rsidRPr="002B4AEE" w:rsidRDefault="002B4AEE" w:rsidP="002B4AEE">
            <w:pPr>
              <w:tabs>
                <w:tab w:val="left" w:pos="3555"/>
              </w:tabs>
              <w:jc w:val="center"/>
              <w:rPr>
                <w:rFonts w:eastAsia="Calibri"/>
                <w:i/>
                <w:lang w:val="lt-LT"/>
              </w:rPr>
            </w:pPr>
            <w:r w:rsidRPr="002B4AEE">
              <w:rPr>
                <w:i/>
                <w:lang w:val="lt-LT" w:eastAsia="lt-LT"/>
              </w:rPr>
              <w:lastRenderedPageBreak/>
              <w:t>Vietos projekto paraiškos pateikimo dieną</w:t>
            </w:r>
          </w:p>
        </w:tc>
        <w:tc>
          <w:tcPr>
            <w:tcW w:w="1323"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lastRenderedPageBreak/>
              <w:t>Grąžinimo terminas</w:t>
            </w:r>
          </w:p>
          <w:p w:rsidR="002B4AEE" w:rsidRPr="002B4AEE" w:rsidRDefault="002B4AEE" w:rsidP="002B4AEE">
            <w:pPr>
              <w:tabs>
                <w:tab w:val="left" w:pos="3555"/>
              </w:tabs>
              <w:jc w:val="center"/>
              <w:rPr>
                <w:rFonts w:eastAsia="Calibri"/>
                <w:b/>
                <w:lang w:val="lt-LT"/>
              </w:rPr>
            </w:pPr>
            <w:r w:rsidRPr="002B4AEE">
              <w:rPr>
                <w:i/>
                <w:lang w:val="lt-LT" w:eastAsia="lt-LT"/>
              </w:rPr>
              <w:lastRenderedPageBreak/>
              <w:t>(metai, mėnuo)</w:t>
            </w:r>
          </w:p>
        </w:tc>
      </w:tr>
      <w:tr w:rsidR="002B4AEE" w:rsidTr="006B50CD">
        <w:tc>
          <w:tcPr>
            <w:tcW w:w="936" w:type="dxa"/>
            <w:vAlign w:val="center"/>
          </w:tcPr>
          <w:p w:rsidR="002B4AEE" w:rsidRPr="005C57E4" w:rsidRDefault="002B4AEE" w:rsidP="002B4AEE">
            <w:pPr>
              <w:tabs>
                <w:tab w:val="left" w:pos="3555"/>
              </w:tabs>
              <w:jc w:val="center"/>
              <w:rPr>
                <w:rFonts w:eastAsia="Calibri"/>
              </w:rPr>
            </w:pPr>
            <w:r w:rsidRPr="005C57E4">
              <w:rPr>
                <w:lang w:eastAsia="lt-LT"/>
              </w:rPr>
              <w:lastRenderedPageBreak/>
              <w:t>5.1.1.1.</w:t>
            </w:r>
          </w:p>
        </w:tc>
        <w:tc>
          <w:tcPr>
            <w:tcW w:w="2112"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7"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6B50CD">
        <w:tc>
          <w:tcPr>
            <w:tcW w:w="936" w:type="dxa"/>
            <w:vAlign w:val="center"/>
          </w:tcPr>
          <w:p w:rsidR="002B4AEE" w:rsidRPr="005C57E4" w:rsidRDefault="002B4AEE" w:rsidP="002B4AEE">
            <w:pPr>
              <w:tabs>
                <w:tab w:val="left" w:pos="3555"/>
              </w:tabs>
              <w:jc w:val="center"/>
              <w:rPr>
                <w:rFonts w:eastAsia="Calibri"/>
              </w:rPr>
            </w:pPr>
            <w:r w:rsidRPr="005C57E4">
              <w:rPr>
                <w:lang w:eastAsia="lt-LT"/>
              </w:rPr>
              <w:t>[...&gt;</w:t>
            </w:r>
          </w:p>
        </w:tc>
        <w:tc>
          <w:tcPr>
            <w:tcW w:w="2112"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7"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6B50CD">
        <w:tc>
          <w:tcPr>
            <w:tcW w:w="936" w:type="dxa"/>
            <w:shd w:val="clear" w:color="auto" w:fill="FBE4D5" w:themeFill="accent2" w:themeFillTint="33"/>
          </w:tcPr>
          <w:p w:rsidR="002B4AEE" w:rsidRDefault="002B4AEE" w:rsidP="002B4AEE">
            <w:pPr>
              <w:rPr>
                <w:rFonts w:eastAsia="Calibri"/>
              </w:rPr>
            </w:pPr>
          </w:p>
        </w:tc>
        <w:tc>
          <w:tcPr>
            <w:tcW w:w="3410" w:type="dxa"/>
            <w:gridSpan w:val="2"/>
            <w:shd w:val="clear" w:color="auto" w:fill="FBE4D5" w:themeFill="accent2" w:themeFillTint="33"/>
          </w:tcPr>
          <w:p w:rsidR="002B4AEE" w:rsidRDefault="002B4AEE" w:rsidP="002B4AEE">
            <w:pPr>
              <w:jc w:val="right"/>
              <w:rPr>
                <w:rFonts w:eastAsia="Calibri"/>
              </w:rPr>
            </w:pPr>
            <w:r w:rsidRPr="005C57E4">
              <w:rPr>
                <w:b/>
                <w:caps/>
                <w:lang w:eastAsia="lt-LT"/>
              </w:rPr>
              <w:t>Iš viso:</w:t>
            </w:r>
          </w:p>
        </w:tc>
        <w:tc>
          <w:tcPr>
            <w:tcW w:w="1257" w:type="dxa"/>
            <w:shd w:val="clear" w:color="auto" w:fill="FBE4D5" w:themeFill="accent2" w:themeFillTint="33"/>
          </w:tcPr>
          <w:p w:rsidR="002B4AEE" w:rsidRDefault="002B4AEE" w:rsidP="002B4AEE">
            <w:pPr>
              <w:rPr>
                <w:rFonts w:eastAsia="Calibri"/>
              </w:rPr>
            </w:pPr>
          </w:p>
        </w:tc>
        <w:tc>
          <w:tcPr>
            <w:tcW w:w="1311" w:type="dxa"/>
            <w:shd w:val="clear" w:color="auto" w:fill="FBE4D5" w:themeFill="accent2" w:themeFillTint="33"/>
          </w:tcPr>
          <w:p w:rsidR="002B4AEE" w:rsidRDefault="002B4AEE" w:rsidP="002B4AEE">
            <w:pPr>
              <w:rPr>
                <w:rFonts w:eastAsia="Calibri"/>
              </w:rPr>
            </w:pPr>
          </w:p>
        </w:tc>
        <w:tc>
          <w:tcPr>
            <w:tcW w:w="1510" w:type="dxa"/>
            <w:shd w:val="clear" w:color="auto" w:fill="FBE4D5" w:themeFill="accent2" w:themeFillTint="33"/>
          </w:tcPr>
          <w:p w:rsidR="002B4AEE" w:rsidRDefault="002B4AEE" w:rsidP="002B4AEE">
            <w:pPr>
              <w:rPr>
                <w:rFonts w:eastAsia="Calibri"/>
              </w:rPr>
            </w:pPr>
          </w:p>
        </w:tc>
        <w:tc>
          <w:tcPr>
            <w:tcW w:w="1323" w:type="dxa"/>
            <w:shd w:val="clear" w:color="auto" w:fill="FBE4D5" w:themeFill="accent2" w:themeFillTint="33"/>
          </w:tcPr>
          <w:p w:rsidR="002B4AEE" w:rsidRDefault="002B4AEE" w:rsidP="002B4AEE">
            <w:pPr>
              <w:rPr>
                <w:rFonts w:eastAsia="Calibri"/>
              </w:rPr>
            </w:pPr>
          </w:p>
        </w:tc>
      </w:tr>
    </w:tbl>
    <w:p w:rsidR="002B4AEE" w:rsidRPr="005C57E4" w:rsidRDefault="002B4AEE" w:rsidP="002B4AEE">
      <w:pPr>
        <w:spacing w:after="0" w:line="240" w:lineRule="auto"/>
        <w:rPr>
          <w:rFonts w:ascii="Times New Roman" w:eastAsia="Calibri" w:hAnsi="Times New Roman" w:cs="Times New Roman"/>
        </w:rPr>
      </w:pPr>
    </w:p>
    <w:p w:rsidR="005C57E4" w:rsidRPr="005C57E4" w:rsidRDefault="005C57E4" w:rsidP="005C57E4">
      <w:pPr>
        <w:spacing w:after="0" w:line="240" w:lineRule="auto"/>
        <w:ind w:firstLine="720"/>
        <w:rPr>
          <w:rFonts w:ascii="Times New Roman" w:eastAsia="Calibri" w:hAnsi="Times New Roman" w:cs="Times New Roman"/>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8"/>
        <w:gridCol w:w="84"/>
        <w:gridCol w:w="3190"/>
        <w:gridCol w:w="221"/>
        <w:gridCol w:w="992"/>
        <w:gridCol w:w="851"/>
        <w:gridCol w:w="44"/>
        <w:gridCol w:w="13"/>
        <w:gridCol w:w="791"/>
        <w:gridCol w:w="19"/>
        <w:gridCol w:w="13"/>
        <w:gridCol w:w="687"/>
        <w:gridCol w:w="158"/>
        <w:gridCol w:w="122"/>
        <w:gridCol w:w="856"/>
        <w:gridCol w:w="16"/>
        <w:gridCol w:w="966"/>
      </w:tblGrid>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pabaigoje (5.2.1 + 5.2.2 + 5.2.3 –5.2.4 –5 .2.5)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jc w:val="center"/>
              <w:rPr>
                <w:rFonts w:ascii="Times New Roman" w:eastAsia="Times New Roman" w:hAnsi="Times New Roman" w:cs="Times New Roman"/>
                <w:lang w:eastAsia="lt-LT"/>
              </w:rPr>
            </w:pPr>
          </w:p>
        </w:tc>
        <w:tc>
          <w:tcPr>
            <w:tcW w:w="3274" w:type="dxa"/>
            <w:gridSpan w:val="2"/>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p>
        </w:tc>
        <w:tc>
          <w:tcPr>
            <w:tcW w:w="1213" w:type="dxa"/>
            <w:gridSpan w:val="2"/>
            <w:tcBorders>
              <w:top w:val="single" w:sz="4" w:space="0" w:color="auto"/>
              <w:left w:val="nil"/>
              <w:bottom w:val="nil"/>
              <w:right w:val="nil"/>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719"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1152" w:type="dxa"/>
            <w:gridSpan w:val="4"/>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6.</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rsidR="005C57E4" w:rsidRPr="00070EA3"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Ši vietos projekto verslo plano formos dalis parengta </w:t>
            </w:r>
            <w:r w:rsidR="00070EA3">
              <w:rPr>
                <w:rFonts w:ascii="Times New Roman" w:eastAsia="Times New Roman" w:hAnsi="Times New Roman" w:cs="Times New Roman"/>
                <w:i/>
                <w:lang w:eastAsia="lt-LT"/>
              </w:rPr>
              <w:t xml:space="preserve">pagal </w:t>
            </w:r>
            <w:r w:rsidRPr="005C57E4">
              <w:rPr>
                <w:rFonts w:ascii="Times New Roman" w:eastAsia="Times New Roman" w:hAnsi="Times New Roman" w:cs="Times New Roman"/>
                <w:i/>
                <w:lang w:eastAsia="lt-LT"/>
              </w:rPr>
              <w:t>KPP priemonės „</w:t>
            </w:r>
            <w:r w:rsidRPr="006B50CD">
              <w:rPr>
                <w:rFonts w:ascii="Times New Roman" w:eastAsia="Times New Roman" w:hAnsi="Times New Roman" w:cs="Times New Roman"/>
                <w:i/>
                <w:lang w:eastAsia="lt-LT"/>
              </w:rPr>
              <w:t>Ūkio ir verslo plėtra“ įgyvendinimo taisyklėse pateiktomis verslo planų formomis, taikomomis paskutinio kvietimo metu gautoms paraiškoms.</w:t>
            </w: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070EA3" w:rsidRPr="005C57E4" w:rsidRDefault="00070EA3"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C20106">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70EA3" w:rsidRPr="005C57E4" w:rsidRDefault="00070EA3"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992"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341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341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070EA3" w:rsidRPr="00070EA3" w:rsidTr="002B4AEE">
        <w:trPr>
          <w:trHeight w:val="248"/>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070EA3" w:rsidRPr="00B96442" w:rsidRDefault="00070EA3"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B96442" w:rsidRDefault="00070EA3"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Investicinis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Pastatai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B.</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B96442" w:rsidRPr="00B96442" w:rsidRDefault="00B96442" w:rsidP="00B96442">
            <w:pPr>
              <w:tabs>
                <w:tab w:val="left" w:pos="3555"/>
              </w:tabs>
              <w:spacing w:after="0" w:line="240" w:lineRule="auto"/>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TRUMPALAIKIS TURTAS</w:t>
            </w: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lastRenderedPageBreak/>
              <w:t>I.1.2.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Kita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992" w:type="dxa"/>
            <w:tcBorders>
              <w:top w:val="single" w:sz="4" w:space="0" w:color="auto"/>
              <w:left w:val="single" w:sz="4" w:space="0" w:color="auto"/>
              <w:bottom w:val="single" w:sz="4" w:space="0" w:color="auto"/>
              <w:right w:val="single" w:sz="4" w:space="0" w:color="auto"/>
            </w:tcBorders>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w:t>
            </w:r>
            <w:r w:rsidR="00700E39" w:rsidRPr="00700E39">
              <w:rPr>
                <w:rFonts w:ascii="Times New Roman" w:eastAsia="Times New Roman" w:hAnsi="Times New Roman" w:cs="Times New Roman"/>
                <w:b/>
                <w:color w:val="000000" w:themeColor="text1"/>
                <w:lang w:eastAsia="lt-LT"/>
              </w:rPr>
              <w:t>1.</w:t>
            </w:r>
            <w:r w:rsidRPr="00700E39">
              <w:rPr>
                <w:rFonts w:ascii="Times New Roman" w:eastAsia="Times New Roman" w:hAnsi="Times New Roman" w:cs="Times New Roman"/>
                <w:b/>
                <w:color w:val="000000" w:themeColor="text1"/>
                <w:lang w:eastAsia="lt-LT"/>
              </w:rPr>
              <w:t>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B96442" w:rsidRPr="00700E39" w:rsidRDefault="00700E39"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700E3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0E39" w:rsidRPr="00700E39" w:rsidRDefault="00700E39"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700E39" w:rsidRPr="00700E39" w:rsidRDefault="00700E39"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297008" w:rsidRDefault="00B96442"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297008" w:rsidRDefault="00B96442"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1.4.</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Savoms akcijoms įsigyti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Kiti rezervai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lastRenderedPageBreak/>
              <w:t>I.1.2.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Kitos 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CE35E7"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97008" w:rsidRPr="00CE35E7" w:rsidRDefault="00297008" w:rsidP="00297008">
            <w:pPr>
              <w:widowControl w:val="0"/>
              <w:spacing w:after="0" w:line="240" w:lineRule="auto"/>
              <w:jc w:val="center"/>
              <w:rPr>
                <w:rFonts w:ascii="Times New Roman" w:eastAsia="Calibri" w:hAnsi="Times New Roman" w:cs="Times New Roman"/>
                <w:b/>
                <w:color w:val="000000" w:themeColor="text1"/>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CE35E7" w:rsidRDefault="00CE35E7"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rsidR="00CE35E7" w:rsidRPr="00C369E1" w:rsidRDefault="00CE35E7"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rsidR="00CE35E7" w:rsidRPr="00C369E1" w:rsidRDefault="00CE35E7" w:rsidP="00CE35E7">
            <w:pPr>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95"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23" w:type="dxa"/>
            <w:gridSpan w:val="3"/>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0" w:type="dxa"/>
            <w:gridSpan w:val="4"/>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56"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2"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CE35E7" w:rsidRPr="00C767C4" w:rsidRDefault="00CE35E7"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4B083"/>
            <w:hideMark/>
          </w:tcPr>
          <w:p w:rsidR="00CE35E7" w:rsidRPr="00C767C4" w:rsidRDefault="00CE35E7"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Pardavimo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Bendrosios ir administracinės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KITA VEIKLA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lastRenderedPageBreak/>
              <w:t>VI.1.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VIII.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PAGAUTĖ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NETEKIMAI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XI.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rHeight w:val="613"/>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E67F3">
            <w:pPr>
              <w:jc w:val="center"/>
              <w:rPr>
                <w:rFonts w:ascii="Times New Roman" w:hAnsi="Times New Roman" w:cs="Times New Roman"/>
                <w:b/>
                <w:bCs/>
              </w:rPr>
            </w:pPr>
            <w:r w:rsidRPr="005268F9">
              <w:rPr>
                <w:rFonts w:ascii="Times New Roman" w:hAnsi="Times New Roman" w:cs="Times New Roman"/>
                <w:b/>
                <w:bCs/>
              </w:rPr>
              <w:t>XIII.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rsidR="00C369E1" w:rsidRPr="005268F9" w:rsidRDefault="00C369E1"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widowControl w:val="0"/>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C310FE" w:rsidRDefault="00C369E1" w:rsidP="00C767C4">
            <w:pPr>
              <w:tabs>
                <w:tab w:val="left" w:pos="3555"/>
              </w:tabs>
              <w:jc w:val="center"/>
              <w:rPr>
                <w:rFonts w:ascii="Times New Roman" w:hAnsi="Times New Roman" w:cs="Times New Roman"/>
                <w:b/>
                <w:szCs w:val="24"/>
              </w:rPr>
            </w:pPr>
            <w:r w:rsidRPr="00C310FE">
              <w:rPr>
                <w:rFonts w:ascii="Times New Roman" w:hAnsi="Times New Roman" w:cs="Times New Roman"/>
                <w:b/>
                <w:szCs w:val="24"/>
              </w:rPr>
              <w:t>6.3.</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tcPr>
          <w:p w:rsidR="00C369E1" w:rsidRPr="00C310FE" w:rsidRDefault="00C369E1" w:rsidP="00C767C4">
            <w:pPr>
              <w:spacing w:after="0" w:line="240" w:lineRule="auto"/>
              <w:rPr>
                <w:rFonts w:ascii="Times New Roman" w:eastAsia="Times New Roman" w:hAnsi="Times New Roman" w:cs="Times New Roman"/>
                <w:b/>
                <w:bCs/>
                <w:lang w:eastAsia="lt-LT"/>
              </w:rPr>
            </w:pPr>
            <w:r w:rsidRPr="00C310FE">
              <w:rPr>
                <w:rFonts w:ascii="Times New Roman" w:eastAsia="Times New Roman" w:hAnsi="Times New Roman" w:cs="Times New Roman"/>
                <w:b/>
                <w:bCs/>
                <w:lang w:eastAsia="lt-LT"/>
              </w:rPr>
              <w:t>PINIGŲ SRAUTŲ PROGNOZĖS</w:t>
            </w:r>
          </w:p>
          <w:p w:rsidR="007E1234" w:rsidRPr="00C310FE" w:rsidRDefault="007E1234" w:rsidP="00B468F0">
            <w:pPr>
              <w:spacing w:after="0" w:line="240" w:lineRule="auto"/>
              <w:rPr>
                <w:rFonts w:ascii="Times New Roman" w:eastAsia="Calibri" w:hAnsi="Times New Roman" w:cs="Times New Roman"/>
                <w:i/>
              </w:rPr>
            </w:pPr>
            <w:r w:rsidRPr="00C310FE">
              <w:rPr>
                <w:rFonts w:ascii="Times New Roman" w:eastAsia="Times New Roman" w:hAnsi="Times New Roman" w:cs="Times New Roman"/>
                <w:bCs/>
                <w:i/>
                <w:lang w:eastAsia="lt-LT"/>
              </w:rPr>
              <w:t>(</w:t>
            </w:r>
            <w:r w:rsidR="00085E43" w:rsidRPr="00C310FE">
              <w:rPr>
                <w:rFonts w:ascii="Times New Roman" w:hAnsi="Times New Roman" w:cs="Times New Roman"/>
                <w:bCs/>
                <w:i/>
              </w:rPr>
              <w:t>pildoma tuo atveju, kai</w:t>
            </w:r>
            <w:r w:rsidR="00085E43" w:rsidRPr="00C310FE">
              <w:rPr>
                <w:bCs/>
                <w:i/>
              </w:rPr>
              <w:t xml:space="preserve"> </w:t>
            </w:r>
            <w:r w:rsidRPr="00C310FE">
              <w:rPr>
                <w:rFonts w:ascii="Times New Roman" w:eastAsia="Calibri" w:hAnsi="Times New Roman" w:cs="Times New Roman"/>
                <w:i/>
                <w:szCs w:val="24"/>
              </w:rPr>
              <w:t xml:space="preserve">pareiškėjas </w:t>
            </w:r>
            <w:r w:rsidR="00B468F0" w:rsidRPr="00C310FE">
              <w:rPr>
                <w:rFonts w:ascii="Times New Roman" w:eastAsia="Calibri" w:hAnsi="Times New Roman" w:cs="Times New Roman"/>
                <w:i/>
                <w:szCs w:val="24"/>
              </w:rPr>
              <w:t xml:space="preserve">yra pateikęs informaciją Verslo plano V dalyje ir (arba) </w:t>
            </w:r>
            <w:r w:rsidRPr="00C310FE">
              <w:rPr>
                <w:rFonts w:ascii="Times New Roman" w:eastAsia="Calibri" w:hAnsi="Times New Roman" w:cs="Times New Roman"/>
                <w:i/>
                <w:szCs w:val="24"/>
              </w:rPr>
              <w:t>prie vietos projekto įgyvendinimo prisideda skolintomis lėšomis)</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767C4" w:rsidRPr="00070EA3" w:rsidTr="002B4AEE">
        <w:trPr>
          <w:tblHeader/>
        </w:trPr>
        <w:tc>
          <w:tcPr>
            <w:tcW w:w="852"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right w:val="single" w:sz="4" w:space="0" w:color="auto"/>
            </w:tcBorders>
            <w:shd w:val="clear" w:color="auto" w:fill="FBE4D5"/>
          </w:tcPr>
          <w:p w:rsidR="00C767C4" w:rsidRPr="005268F9" w:rsidRDefault="00C767C4"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sidR="00CE67F3">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sidR="00CE67F3">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w:t>
            </w:r>
            <w:r w:rsidR="00CE67F3" w:rsidRPr="00CE67F3">
              <w:rPr>
                <w:rFonts w:ascii="Times New Roman" w:eastAsia="Times New Roman" w:hAnsi="Times New Roman" w:cs="Times New Roman"/>
                <w:b/>
                <w:i/>
                <w:lang w:eastAsia="lt-LT"/>
              </w:rPr>
              <w:t>-</w:t>
            </w:r>
            <w:r w:rsidRPr="00CE67F3">
              <w:rPr>
                <w:rFonts w:ascii="Times New Roman" w:eastAsia="Times New Roman" w:hAnsi="Times New Roman" w:cs="Times New Roman"/>
                <w:b/>
                <w:i/>
                <w:lang w:eastAsia="lt-LT"/>
              </w:rPr>
              <w:t>tinai</w:t>
            </w:r>
            <w:r w:rsidRPr="005268F9">
              <w:rPr>
                <w:rFonts w:ascii="Times New Roman" w:eastAsia="Times New Roman" w:hAnsi="Times New Roman" w:cs="Times New Roman"/>
                <w:b/>
                <w:lang w:eastAsia="lt-LT"/>
              </w:rPr>
              <w: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767C4" w:rsidRPr="005C57E4"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2818" w:type="dxa"/>
            <w:gridSpan w:val="7"/>
            <w:tcBorders>
              <w:top w:val="single" w:sz="4" w:space="0" w:color="auto"/>
              <w:left w:val="single" w:sz="4" w:space="0" w:color="auto"/>
              <w:bottom w:val="single" w:sz="4" w:space="0" w:color="auto"/>
              <w:right w:val="single" w:sz="4" w:space="0" w:color="auto"/>
            </w:tcBorders>
            <w:shd w:val="clear" w:color="auto" w:fill="FBE4D5"/>
          </w:tcPr>
          <w:p w:rsidR="00C767C4" w:rsidRPr="00070EA3" w:rsidRDefault="00C767C4"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B468F0" w:rsidRPr="00070EA3" w:rsidTr="002B4AEE">
        <w:trPr>
          <w:tblHeader/>
        </w:trPr>
        <w:tc>
          <w:tcPr>
            <w:tcW w:w="852"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268F9" w:rsidRDefault="00B468F0"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 metai</w:t>
            </w:r>
          </w:p>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r w:rsidRPr="005268F9">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C57E4" w:rsidRDefault="00B468F0"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070EA3" w:rsidRDefault="00B468F0"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[20...&gt;</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b/>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BC088A" w:rsidRDefault="005268F9"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BC088A"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Akcijų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lastRenderedPageBreak/>
              <w:t>III.1.2.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Savų akcijų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Dividendų išmokėjimas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6B50CD">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nil"/>
              <w:bottom w:val="single" w:sz="4" w:space="0" w:color="auto"/>
              <w:right w:val="nil"/>
            </w:tcBorders>
            <w:shd w:val="clear" w:color="auto" w:fill="FFFFFF"/>
            <w:vAlign w:val="center"/>
          </w:tcPr>
          <w:p w:rsidR="005268F9" w:rsidRPr="00070EA3" w:rsidRDefault="005268F9"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widowControl w:val="0"/>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268F9" w:rsidRPr="008235BD" w:rsidRDefault="005268F9"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rsidR="005268F9" w:rsidRPr="008235BD" w:rsidRDefault="005268F9"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5268F9" w:rsidRPr="00070EA3" w:rsidTr="002B4AEE">
        <w:trPr>
          <w:trHeight w:val="465"/>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VIII</w:t>
            </w:r>
          </w:p>
        </w:tc>
      </w:tr>
      <w:tr w:rsidR="005268F9" w:rsidRPr="00070EA3"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268F9"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 xml:space="preserve">Ataskaiti-niai (2018) </w:t>
            </w:r>
            <w:r w:rsidRPr="008235BD">
              <w:rPr>
                <w:rFonts w:ascii="Times New Roman" w:eastAsia="Times New Roman" w:hAnsi="Times New Roman" w:cs="Times New Roman"/>
                <w:b/>
                <w:color w:val="000000" w:themeColor="text1"/>
                <w:lang w:eastAsia="lt-LT"/>
              </w:rPr>
              <w:lastRenderedPageBreak/>
              <w:t>arba praėję ataskaiti</w:t>
            </w:r>
            <w:r w:rsidR="00B468F0">
              <w:rPr>
                <w:rFonts w:ascii="Times New Roman" w:eastAsia="Times New Roman" w:hAnsi="Times New Roman" w:cs="Times New Roman"/>
                <w:b/>
                <w:color w:val="000000" w:themeColor="text1"/>
                <w:lang w:eastAsia="lt-LT"/>
              </w:rPr>
              <w:t>-</w:t>
            </w:r>
            <w:r w:rsidRPr="008235BD">
              <w:rPr>
                <w:rFonts w:ascii="Times New Roman" w:eastAsia="Times New Roman" w:hAnsi="Times New Roman" w:cs="Times New Roman"/>
                <w:b/>
                <w:color w:val="000000" w:themeColor="text1"/>
                <w:lang w:eastAsia="lt-LT"/>
              </w:rPr>
              <w:t>niai (2017) metai (</w:t>
            </w:r>
            <w:r w:rsidRPr="008235BD">
              <w:rPr>
                <w:rFonts w:ascii="Times New Roman" w:eastAsia="Times New Roman" w:hAnsi="Times New Roman" w:cs="Times New Roman"/>
                <w:b/>
                <w:i/>
                <w:color w:val="000000" w:themeColor="text1"/>
                <w:lang w:eastAsia="lt-LT"/>
              </w:rPr>
              <w:t>pasirink-tinai</w:t>
            </w:r>
            <w:r w:rsidRPr="008235BD">
              <w:rPr>
                <w:rFonts w:ascii="Times New Roman" w:eastAsia="Times New Roman" w:hAnsi="Times New Roman" w:cs="Times New Roman"/>
                <w:b/>
                <w:color w:val="000000" w:themeColor="text1"/>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lastRenderedPageBreak/>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5268F9" w:rsidRPr="00070EA3"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5268F9" w:rsidP="00297008">
            <w:pPr>
              <w:tabs>
                <w:tab w:val="left" w:pos="3555"/>
              </w:tabs>
              <w:spacing w:after="0" w:line="240" w:lineRule="auto"/>
              <w:jc w:val="center"/>
              <w:rPr>
                <w:rFonts w:ascii="Times New Roman" w:eastAsia="Calibri" w:hAnsi="Times New Roman" w:cs="Times New Roman"/>
                <w:i/>
                <w:color w:val="000000" w:themeColor="text1"/>
              </w:rPr>
            </w:pPr>
            <w:r w:rsidRPr="008235BD">
              <w:rPr>
                <w:rFonts w:ascii="Times New Roman" w:eastAsia="Times New Roman" w:hAnsi="Times New Roman" w:cs="Times New Roman"/>
                <w:b/>
                <w:color w:val="000000" w:themeColor="text1"/>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B468F0"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8235B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sidR="00085E43">
              <w:rPr>
                <w:rFonts w:ascii="Times New Roman" w:eastAsia="Times New Roman" w:hAnsi="Times New Roman" w:cs="Times New Roman"/>
                <w:b/>
                <w:bCs/>
                <w:color w:val="000000" w:themeColor="text1"/>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B468F0">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bl>
    <w:p w:rsidR="005C57E4" w:rsidRPr="00070EA3" w:rsidRDefault="005C57E4" w:rsidP="005C57E4">
      <w:pPr>
        <w:spacing w:after="0" w:line="240" w:lineRule="auto"/>
        <w:ind w:firstLine="720"/>
        <w:rPr>
          <w:rFonts w:ascii="Times New Roman" w:eastAsia="Calibri" w:hAnsi="Times New Roman" w:cs="Times New Roman"/>
          <w:color w:val="FF0000"/>
        </w:rPr>
      </w:pPr>
    </w:p>
    <w:p w:rsidR="005C57E4" w:rsidRPr="00514F35" w:rsidRDefault="00C310FE" w:rsidP="00514F35">
      <w:pPr>
        <w:spacing w:after="0" w:line="240" w:lineRule="auto"/>
        <w:jc w:val="center"/>
        <w:rPr>
          <w:rFonts w:ascii="Times New Roman" w:eastAsia="Times New Roman" w:hAnsi="Times New Roman" w:cs="Times New Roman"/>
        </w:rPr>
        <w:sectPr w:rsidR="005C57E4" w:rsidRPr="00514F35">
          <w:headerReference w:type="default" r:id="rId7"/>
          <w:footerReference w:type="default" r:id="rId8"/>
          <w:headerReference w:type="first" r:id="rId9"/>
          <w:footerReference w:type="first" r:id="rId10"/>
          <w:pgSz w:w="11907" w:h="16840"/>
          <w:pgMar w:top="1134" w:right="1134" w:bottom="1134" w:left="1701" w:header="567" w:footer="567" w:gutter="0"/>
          <w:pgNumType w:start="1"/>
          <w:cols w:space="1296"/>
          <w:titlePg/>
          <w:docGrid w:linePitch="326"/>
        </w:sectPr>
      </w:pPr>
      <w:r>
        <w:rPr>
          <w:rFonts w:ascii="Times New Roman" w:eastAsia="Times New Roman" w:hAnsi="Times New Roman" w:cs="Times New Roman"/>
          <w:lang w:eastAsia="lt-LT"/>
        </w:rPr>
        <w:t>_____</w:t>
      </w:r>
      <w:r w:rsidR="00C20106">
        <w:rPr>
          <w:rFonts w:ascii="Times New Roman" w:eastAsia="Times New Roman" w:hAnsi="Times New Roman" w:cs="Times New Roman"/>
          <w:lang w:eastAsia="lt-LT"/>
        </w:rPr>
        <w:t>________</w:t>
      </w:r>
    </w:p>
    <w:p w:rsidR="00175D69" w:rsidRPr="00514F35" w:rsidRDefault="00175D69" w:rsidP="006B50CD">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1B" w:rsidRDefault="0079601B" w:rsidP="00C310FE">
      <w:pPr>
        <w:spacing w:after="0" w:line="240" w:lineRule="auto"/>
      </w:pPr>
      <w:r>
        <w:separator/>
      </w:r>
    </w:p>
  </w:endnote>
  <w:endnote w:type="continuationSeparator" w:id="0">
    <w:p w:rsidR="0079601B" w:rsidRDefault="0079601B" w:rsidP="00C3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FE" w:rsidRDefault="00C310FE" w:rsidP="00C310FE">
    <w:pPr>
      <w:pStyle w:val="Footer"/>
      <w:jc w:val="right"/>
      <w:rPr>
        <w:rFonts w:ascii="Times New Roman" w:hAnsi="Times New Roman" w:cs="Times New Roman"/>
        <w:i/>
        <w:sz w:val="22"/>
        <w:szCs w:val="22"/>
      </w:rPr>
    </w:pPr>
  </w:p>
  <w:p w:rsidR="00C310FE" w:rsidRDefault="00C310FE" w:rsidP="00C310FE">
    <w:pPr>
      <w:pStyle w:val="Footer"/>
      <w:jc w:val="right"/>
      <w:rPr>
        <w:rFonts w:ascii="Times New Roman" w:hAnsi="Times New Roman" w:cs="Times New Roman"/>
        <w:i/>
        <w:sz w:val="22"/>
        <w:szCs w:val="22"/>
      </w:rPr>
    </w:pPr>
    <w:r>
      <w:rPr>
        <w:rFonts w:ascii="Times New Roman" w:hAnsi="Times New Roman" w:cs="Times New Roman"/>
        <w:i/>
        <w:sz w:val="22"/>
        <w:szCs w:val="22"/>
      </w:rPr>
      <w:t>_________________________________________</w:t>
    </w:r>
  </w:p>
  <w:p w:rsidR="00C310FE" w:rsidRPr="00C310FE" w:rsidRDefault="00C310FE" w:rsidP="00C310FE">
    <w:pPr>
      <w:pStyle w:val="Footer"/>
      <w:jc w:val="right"/>
      <w:rPr>
        <w:rFonts w:ascii="Times New Roman" w:hAnsi="Times New Roman" w:cs="Times New Roman"/>
        <w:i/>
        <w:sz w:val="22"/>
        <w:szCs w:val="22"/>
      </w:rPr>
    </w:pPr>
    <w:r w:rsidRPr="00C310FE">
      <w:rPr>
        <w:rFonts w:ascii="Times New Roman" w:hAnsi="Times New Roman" w:cs="Times New Roman"/>
        <w:i/>
        <w:sz w:val="22"/>
        <w:szCs w:val="22"/>
      </w:rPr>
      <w:t>Pareiškėjo ar jo įgalioto asmens parašas  A. V.</w:t>
    </w:r>
  </w:p>
  <w:p w:rsidR="00C310FE" w:rsidRDefault="00C3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FE" w:rsidRDefault="00C310FE" w:rsidP="00C310FE">
    <w:pPr>
      <w:pStyle w:val="Footer"/>
      <w:jc w:val="center"/>
    </w:pPr>
    <w:r>
      <w:t xml:space="preserve">                                                                  </w:t>
    </w:r>
    <w:r>
      <w:t>__________________________________</w:t>
    </w:r>
  </w:p>
  <w:p w:rsidR="00C310FE" w:rsidRPr="00C310FE" w:rsidRDefault="00C310FE" w:rsidP="00C310FE">
    <w:pPr>
      <w:pStyle w:val="Footer"/>
      <w:jc w:val="right"/>
      <w:rPr>
        <w:rFonts w:ascii="Times New Roman" w:hAnsi="Times New Roman" w:cs="Times New Roman"/>
        <w:i/>
        <w:sz w:val="22"/>
        <w:szCs w:val="22"/>
      </w:rPr>
    </w:pPr>
    <w:r w:rsidRPr="00C310FE">
      <w:rPr>
        <w:rFonts w:ascii="Times New Roman" w:hAnsi="Times New Roman" w:cs="Times New Roman"/>
        <w:i/>
        <w:sz w:val="22"/>
        <w:szCs w:val="22"/>
      </w:rPr>
      <w:t>Pareiškėjo ar jo įgalioto asmens parašas  A. 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1B" w:rsidRDefault="0079601B" w:rsidP="00C310FE">
      <w:pPr>
        <w:spacing w:after="0" w:line="240" w:lineRule="auto"/>
      </w:pPr>
      <w:r>
        <w:separator/>
      </w:r>
    </w:p>
  </w:footnote>
  <w:footnote w:type="continuationSeparator" w:id="0">
    <w:p w:rsidR="0079601B" w:rsidRDefault="0079601B" w:rsidP="00C31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95038"/>
      <w:docPartObj>
        <w:docPartGallery w:val="Page Numbers (Top of Page)"/>
        <w:docPartUnique/>
      </w:docPartObj>
    </w:sdtPr>
    <w:sdtContent>
      <w:p w:rsidR="00C310FE" w:rsidRDefault="00C310FE">
        <w:pPr>
          <w:pStyle w:val="Header"/>
          <w:jc w:val="center"/>
        </w:pPr>
        <w:r>
          <w:fldChar w:fldCharType="begin"/>
        </w:r>
        <w:r>
          <w:instrText>PAGE   \* MERGEFORMAT</w:instrText>
        </w:r>
        <w:r>
          <w:fldChar w:fldCharType="separate"/>
        </w:r>
        <w:r>
          <w:t>2</w:t>
        </w:r>
        <w:r>
          <w:fldChar w:fldCharType="end"/>
        </w:r>
      </w:p>
    </w:sdtContent>
  </w:sdt>
  <w:p w:rsidR="00C310FE" w:rsidRDefault="00C3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343331"/>
      <w:docPartObj>
        <w:docPartGallery w:val="Page Numbers (Top of Page)"/>
        <w:docPartUnique/>
      </w:docPartObj>
    </w:sdtPr>
    <w:sdtContent>
      <w:p w:rsidR="00C310FE" w:rsidRDefault="00C310FE">
        <w:pPr>
          <w:pStyle w:val="Header"/>
          <w:jc w:val="center"/>
        </w:pPr>
        <w:r>
          <w:fldChar w:fldCharType="begin"/>
        </w:r>
        <w:r>
          <w:instrText>PAGE   \* MERGEFORMAT</w:instrText>
        </w:r>
        <w:r>
          <w:fldChar w:fldCharType="separate"/>
        </w:r>
        <w:r>
          <w:t>2</w:t>
        </w:r>
        <w:r>
          <w:fldChar w:fldCharType="end"/>
        </w:r>
      </w:p>
    </w:sdtContent>
  </w:sdt>
  <w:p w:rsidR="00C310FE" w:rsidRDefault="00C31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A3"/>
    <w:rsid w:val="00085E43"/>
    <w:rsid w:val="00175D69"/>
    <w:rsid w:val="00297008"/>
    <w:rsid w:val="002B4AEE"/>
    <w:rsid w:val="00330AEF"/>
    <w:rsid w:val="004D0CF6"/>
    <w:rsid w:val="00514F35"/>
    <w:rsid w:val="005268F9"/>
    <w:rsid w:val="00543B40"/>
    <w:rsid w:val="005C57E4"/>
    <w:rsid w:val="006B50CD"/>
    <w:rsid w:val="00700E39"/>
    <w:rsid w:val="0079601B"/>
    <w:rsid w:val="007E1234"/>
    <w:rsid w:val="008235BD"/>
    <w:rsid w:val="00921EFE"/>
    <w:rsid w:val="009A6FA7"/>
    <w:rsid w:val="00A274F3"/>
    <w:rsid w:val="00B468F0"/>
    <w:rsid w:val="00B61631"/>
    <w:rsid w:val="00B96442"/>
    <w:rsid w:val="00BB0607"/>
    <w:rsid w:val="00BC088A"/>
    <w:rsid w:val="00BE2DA5"/>
    <w:rsid w:val="00C20106"/>
    <w:rsid w:val="00C310FE"/>
    <w:rsid w:val="00C369E1"/>
    <w:rsid w:val="00C767C4"/>
    <w:rsid w:val="00CE35E7"/>
    <w:rsid w:val="00CE67F3"/>
    <w:rsid w:val="00D43E7C"/>
    <w:rsid w:val="00E400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73B20"/>
  <w15:docId w15:val="{339E5FFC-684C-447D-8344-3115D1F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0168-6D55-455C-8D77-23078A04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17</Pages>
  <Words>19876</Words>
  <Characters>11330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17</cp:revision>
  <dcterms:created xsi:type="dcterms:W3CDTF">2019-03-25T09:48:00Z</dcterms:created>
  <dcterms:modified xsi:type="dcterms:W3CDTF">2019-04-04T12:53:00Z</dcterms:modified>
</cp:coreProperties>
</file>